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:rsidR="00C2020C" w:rsidRPr="007713EA" w:rsidRDefault="00C2020C" w:rsidP="00132F4E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FootnoteReferenc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FootnoteReferenc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FootnoteReferenc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EC7A59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  <w:r w:rsidR="0091703B">
              <w:rPr>
                <w:b/>
                <w:i/>
                <w:sz w:val="22"/>
              </w:rPr>
              <w:t xml:space="preserve"> </w:t>
            </w:r>
            <w:r w:rsidR="00EC7A59" w:rsidRPr="00EC7A59">
              <w:rPr>
                <w:sz w:val="22"/>
              </w:rPr>
              <w:t>Općina Kapela</w:t>
            </w:r>
          </w:p>
        </w:tc>
      </w:tr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</w:t>
            </w:r>
            <w:r w:rsidR="00EC7A59" w:rsidRPr="00EC7A59">
              <w:rPr>
                <w:sz w:val="22"/>
              </w:rPr>
              <w:t>Bilogorska 90, 43203 Kapela</w:t>
            </w:r>
            <w:r w:rsidRPr="007713EA">
              <w:rPr>
                <w:sz w:val="22"/>
              </w:rPr>
              <w:t>]</w:t>
            </w:r>
          </w:p>
        </w:tc>
      </w:tr>
      <w:tr w:rsidR="00C2020C" w:rsidRPr="007713EA" w:rsidTr="00CF699D">
        <w:trPr>
          <w:trHeight w:val="485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  <w:r w:rsidR="0091703B">
              <w:rPr>
                <w:b/>
                <w:i/>
                <w:sz w:val="22"/>
              </w:rPr>
              <w:t xml:space="preserve"> </w:t>
            </w:r>
            <w:r w:rsidR="0091703B" w:rsidRPr="0091703B">
              <w:rPr>
                <w:i/>
                <w:sz w:val="22"/>
              </w:rPr>
              <w:t>nabava radova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C7A59" w:rsidRPr="00EC7A59" w:rsidRDefault="00C2020C" w:rsidP="00EC7A59">
            <w:pPr>
              <w:rPr>
                <w:sz w:val="22"/>
              </w:rPr>
            </w:pPr>
            <w:r w:rsidRPr="007713EA">
              <w:rPr>
                <w:sz w:val="22"/>
              </w:rPr>
              <w:t>[</w:t>
            </w:r>
            <w:r w:rsidR="00E1708A">
              <w:rPr>
                <w:sz w:val="22"/>
              </w:rPr>
              <w:t>Izgradnja i opremanje reciklažnog dvorišta</w:t>
            </w:r>
            <w:bookmarkStart w:id="0" w:name="_GoBack"/>
            <w:bookmarkEnd w:id="0"/>
          </w:p>
          <w:p w:rsidR="00C2020C" w:rsidRPr="007713EA" w:rsidRDefault="00EC7A59" w:rsidP="00EC7A59">
            <w:r w:rsidRPr="00EC7A59">
              <w:rPr>
                <w:sz w:val="22"/>
              </w:rPr>
              <w:t>na području Općine Kapela</w:t>
            </w:r>
            <w:r w:rsidR="00C2020C" w:rsidRPr="007713EA">
              <w:rPr>
                <w:sz w:val="22"/>
              </w:rPr>
              <w:t>]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E1708A">
            <w:r w:rsidRPr="007713EA">
              <w:rPr>
                <w:sz w:val="22"/>
              </w:rPr>
              <w:t>[</w:t>
            </w:r>
            <w:r w:rsidR="00E1708A">
              <w:rPr>
                <w:sz w:val="22"/>
              </w:rPr>
              <w:t>02</w:t>
            </w:r>
            <w:r w:rsidR="0091703B">
              <w:rPr>
                <w:sz w:val="22"/>
              </w:rPr>
              <w:t>/17</w:t>
            </w:r>
            <w:r w:rsidRPr="007713EA">
              <w:rPr>
                <w:sz w:val="22"/>
              </w:rPr>
              <w:t>]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rPr>
          <w:trHeight w:val="137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rPr>
          <w:trHeight w:val="200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7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11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9289" w:type="dxa"/>
            <w:gridSpan w:val="2"/>
            <w:shd w:val="clear" w:color="auto" w:fill="BFBFBF"/>
          </w:tcPr>
          <w:p w:rsidR="00C2020C" w:rsidRPr="007713EA" w:rsidRDefault="00C2020C" w:rsidP="001B1B7A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navedite ostale gospodarske subjekte koji 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lastRenderedPageBreak/>
              <w:br/>
              <w:t>a):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[……];</w:t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[]Da []Ne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12"/>
      </w:r>
      <w:r w:rsidRPr="007713EA">
        <w:rPr>
          <w:i/>
          <w:sz w:val="22"/>
        </w:rPr>
        <w:t>.</w:t>
      </w:r>
    </w:p>
    <w:p w:rsidR="004F0D74" w:rsidRPr="007713EA" w:rsidRDefault="004F0D74" w:rsidP="00C2020C">
      <w:pPr>
        <w:pStyle w:val="ChapterTitle"/>
        <w:rPr>
          <w:sz w:val="22"/>
          <w:u w:val="single"/>
        </w:rPr>
      </w:pPr>
      <w:r w:rsidRPr="007713EA">
        <w:rPr>
          <w:sz w:val="22"/>
        </w:rPr>
        <w:lastRenderedPageBreak/>
        <w:t xml:space="preserve">D: Podaci o podugovarateljima na čije se sposobnosti gospodarski subjekt </w:t>
      </w:r>
      <w:r w:rsidRPr="007713EA">
        <w:rPr>
          <w:sz w:val="22"/>
          <w:u w:val="single"/>
        </w:rPr>
        <w:t>ne oslanja</w:t>
      </w:r>
    </w:p>
    <w:p w:rsidR="004F0D74" w:rsidRPr="007713E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 w:rsidRPr="007713EA"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:rsidR="006A18DF" w:rsidRPr="007713EA" w:rsidRDefault="00E52DAF" w:rsidP="00B60295">
            <w:pPr>
              <w:jc w:val="left"/>
            </w:pPr>
            <w:r w:rsidRPr="007713EA">
              <w:t>[]</w:t>
            </w:r>
            <w:r w:rsidRPr="007713EA">
              <w:rPr>
                <w:sz w:val="22"/>
              </w:rPr>
              <w:t>Da []Ne</w:t>
            </w:r>
            <w:r w:rsidRPr="007713EA">
              <w:rPr>
                <w:sz w:val="22"/>
              </w:rPr>
              <w:br/>
            </w:r>
            <w:r w:rsidRPr="007713EA">
              <w:t xml:space="preserve">Ako </w:t>
            </w:r>
            <w:r w:rsidRPr="007713EA">
              <w:rPr>
                <w:b/>
              </w:rPr>
              <w:t>da i koliko je poznato</w:t>
            </w:r>
            <w:r w:rsidRPr="007713EA">
              <w:t xml:space="preserve">, navedite predložene podugovaratelje: </w:t>
            </w:r>
          </w:p>
          <w:p w:rsidR="006A18DF" w:rsidRPr="007713EA" w:rsidRDefault="006A18DF" w:rsidP="006A18DF">
            <w:r w:rsidRPr="007713EA">
              <w:t>[…]</w:t>
            </w:r>
          </w:p>
        </w:tc>
      </w:tr>
    </w:tbl>
    <w:p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III: Osnove za isključenje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Osnove povezane s kaznenim presudama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14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4"/>
      <w:bookmarkEnd w:id="2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5"/>
      </w:r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3" w:name="_DV_M1266"/>
      <w:bookmarkEnd w:id="3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6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4" w:name="_DV_M1268"/>
      <w:bookmarkEnd w:id="4"/>
      <w:r w:rsidRPr="007713EA">
        <w:rPr>
          <w:b/>
          <w:i/>
          <w:w w:val="0"/>
          <w:sz w:val="22"/>
        </w:rPr>
        <w:t>pranje novca ili financiranje terorizma</w:t>
      </w:r>
      <w:bookmarkStart w:id="5" w:name="_DV_C1915"/>
      <w:r w:rsidRPr="00B73A8C">
        <w:rPr>
          <w:rStyle w:val="FootnoteReference"/>
        </w:rPr>
        <w:footnoteReference w:id="17"/>
      </w:r>
      <w:bookmarkEnd w:id="5"/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8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 xml:space="preserve">Osnove povezane s kaznenim presudama na temelju nacionalnih odredbi o provođenju </w:t>
            </w:r>
            <w:r w:rsidRPr="007713EA">
              <w:rPr>
                <w:b/>
                <w:i/>
                <w:sz w:val="22"/>
              </w:rPr>
              <w:lastRenderedPageBreak/>
              <w:t>osnova utvrđenih u članku 57. stavku 1. Direktive: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2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datum:[ ], točke: [   ], razlozi:[   ]</w:t>
            </w:r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2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[] Da [] Ne 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23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w w:val="0"/>
          <w:sz w:val="22"/>
        </w:rPr>
      </w:pPr>
      <w:r w:rsidRPr="007713EA">
        <w:rPr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lastRenderedPageBreak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:rsidTr="00CF699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24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5"/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/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1316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154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lastRenderedPageBreak/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3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lastRenderedPageBreak/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IV.: Kriteriji za odabir gospodarskog subjekta</w:t>
      </w:r>
    </w:p>
    <w:p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</w:t>
            </w:r>
            <w:r w:rsidRPr="007713EA">
              <w:rPr>
                <w:i/>
                <w:sz w:val="22"/>
              </w:rPr>
              <w:lastRenderedPageBreak/>
              <w:t>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(web-adresu, nadležno tijelo ili tijelo koje ju </w:t>
            </w:r>
            <w:r w:rsidRPr="007713EA">
              <w:rPr>
                <w:i/>
                <w:sz w:val="22"/>
              </w:rPr>
              <w:lastRenderedPageBreak/>
              <w:t>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bookmarkStart w:id="6" w:name="_DV_M4300"/>
            <w:bookmarkStart w:id="7" w:name="_DV_M4301"/>
            <w:bookmarkEnd w:id="6"/>
            <w:bookmarkEnd w:id="7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/>
              </w:tc>
            </w:tr>
          </w:tbl>
          <w:p w:rsidR="00C2020C" w:rsidRPr="007713EA" w:rsidRDefault="00C2020C" w:rsidP="00CF699D"/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lastRenderedPageBreak/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lastRenderedPageBreak/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 xml:space="preserve">instituti za </w:t>
            </w:r>
            <w:r w:rsidRPr="007713EA">
              <w:rPr>
                <w:b/>
                <w:sz w:val="22"/>
              </w:rPr>
              <w:lastRenderedPageBreak/>
              <w:t>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7713EA">
        <w:rPr>
          <w:sz w:val="22"/>
        </w:rPr>
        <w:lastRenderedPageBreak/>
        <w:t>D: Sustavi za osiguravanje kvalitete i norme upravljanja okolišem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lastRenderedPageBreak/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FootnoteReferenc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6"/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C2020C" w:rsidRPr="007713EA" w:rsidRDefault="00C2020C" w:rsidP="00C2020C">
      <w:pPr>
        <w:rPr>
          <w:i/>
          <w:sz w:val="22"/>
        </w:rPr>
      </w:pPr>
    </w:p>
    <w:p w:rsidR="00C2020C" w:rsidRPr="007713EA" w:rsidRDefault="00C2020C" w:rsidP="00C2020C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C2020C" w:rsidRPr="007713EA" w:rsidRDefault="00C2020C" w:rsidP="00C2020C">
      <w:pPr>
        <w:pStyle w:val="Titrearticle"/>
        <w:rPr>
          <w:sz w:val="22"/>
        </w:rPr>
      </w:pPr>
    </w:p>
    <w:p w:rsidR="005B0578" w:rsidRPr="007713EA" w:rsidRDefault="005B0578" w:rsidP="00610E11">
      <w:pPr>
        <w:rPr>
          <w:sz w:val="22"/>
        </w:rPr>
      </w:pPr>
    </w:p>
    <w:sectPr w:rsidR="005B0578" w:rsidRPr="007713EA" w:rsidSect="002F73E5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E0" w:rsidRDefault="00AC4EE0" w:rsidP="00181329">
      <w:pPr>
        <w:spacing w:before="0" w:after="0"/>
      </w:pPr>
      <w:r>
        <w:separator/>
      </w:r>
    </w:p>
  </w:endnote>
  <w:endnote w:type="continuationSeparator" w:id="0">
    <w:p w:rsidR="00AC4EE0" w:rsidRDefault="00AC4EE0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 w:rsidR="00146A13">
      <w:fldChar w:fldCharType="begin"/>
    </w:r>
    <w:r w:rsidR="00146A13">
      <w:instrText xml:space="preserve"> PAGE  \* MERGEFORMAT </w:instrText>
    </w:r>
    <w:r w:rsidR="00146A13">
      <w:fldChar w:fldCharType="separate"/>
    </w:r>
    <w:r w:rsidR="00E1708A">
      <w:rPr>
        <w:noProof/>
      </w:rPr>
      <w:t>15</w:t>
    </w:r>
    <w:r w:rsidR="00146A13">
      <w:rPr>
        <w:noProof/>
      </w:rP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5" w:rsidRPr="002F73E5" w:rsidRDefault="002F73E5" w:rsidP="002F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E0" w:rsidRDefault="00AC4EE0" w:rsidP="00181329">
      <w:pPr>
        <w:spacing w:before="0" w:after="0"/>
      </w:pPr>
      <w:r>
        <w:separator/>
      </w:r>
    </w:p>
  </w:footnote>
  <w:footnote w:type="continuationSeparator" w:id="0">
    <w:p w:rsidR="00AC4EE0" w:rsidRDefault="00AC4EE0" w:rsidP="00181329">
      <w:pPr>
        <w:spacing w:before="0" w:after="0"/>
      </w:pPr>
      <w:r>
        <w:continuationSeparator/>
      </w:r>
    </w:p>
  </w:footnote>
  <w:footnote w:id="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 xml:space="preserve">Vidjeti </w:t>
      </w:r>
      <w:r w:rsidRPr="008F236E">
        <w:rPr>
          <w:i/>
        </w:rPr>
        <w:t>točke II.1.1. i II.1.3. odgovarajuće obavijesti</w:t>
      </w:r>
    </w:p>
  </w:footnote>
  <w:footnote w:id="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 xml:space="preserve">Vidjeti </w:t>
      </w:r>
      <w:r w:rsidRPr="008F236E">
        <w:rPr>
          <w:i/>
        </w:rPr>
        <w:t>točku II.1.1. odgovarajuće obavijesti</w:t>
      </w:r>
    </w:p>
  </w:footnote>
  <w:footnote w:id="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 xml:space="preserve">Ponovite </w:t>
      </w:r>
      <w:r w:rsidRPr="008F236E">
        <w:t>podatke o osobama za kontakt onoliko puta koliko je potrebno.</w:t>
      </w:r>
    </w:p>
  </w:footnote>
  <w:footnote w:id="7">
    <w:p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Vidjeti obavijest o nadmetanju, točku III.1.5.</w:t>
      </w:r>
    </w:p>
  </w:footnote>
  <w:footnote w:id="9">
    <w:p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Tj. </w:t>
      </w:r>
      <w:r w:rsidRPr="008F236E">
        <w:t>njegov je glavni cilj socijalna i profesionalna integracija</w:t>
      </w:r>
      <w:r>
        <w:t xml:space="preserve"> osoba s invaliditetom ili </w:t>
      </w:r>
      <w:bookmarkStart w:id="1" w:name="_DV_C939"/>
      <w:r>
        <w:t>osoba</w:t>
      </w:r>
      <w:bookmarkEnd w:id="1"/>
      <w:r>
        <w:t xml:space="preserve"> u nepovoljnom položaju.</w:t>
      </w:r>
    </w:p>
  </w:footnote>
  <w:footnote w:id="10">
    <w:p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</w:r>
      <w:r>
        <w:t xml:space="preserve">Ako </w:t>
      </w:r>
      <w:r>
        <w:t>postoje, upućivanja i klasifikacija navedeni su u potvrdi.</w:t>
      </w:r>
    </w:p>
  </w:footnote>
  <w:footnote w:id="11">
    <w:p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</w:r>
      <w:r>
        <w:t xml:space="preserve">Posebno </w:t>
      </w:r>
      <w:r>
        <w:t>kao dio skupine, konzorcija, zajedničkog pothvata ili sličnog.</w:t>
      </w:r>
    </w:p>
  </w:footnote>
  <w:footnote w:id="12">
    <w:p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</w:r>
      <w:r>
        <w:t xml:space="preserve">Npr. </w:t>
      </w:r>
      <w:r>
        <w:t>za tehnička tijela uključena u kontrolu kvalitete: dio IV., odjeljak C, točka 3.</w:t>
      </w:r>
    </w:p>
  </w:footnote>
  <w:footnote w:id="1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 xml:space="preserve">U </w:t>
      </w:r>
      <w:r w:rsidRPr="008F236E">
        <w:t>skladu s definicijom iz članka 2. Okvirne odluke Vijeća 2008/841/PUP od 24. listopada 2008. o borbi protiv organiziranog kriminala (SL L 300, 11.11.2008., str. 42.).</w:t>
      </w:r>
    </w:p>
  </w:footnote>
  <w:footnote w:id="1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 </w:t>
      </w:r>
      <w:r w:rsidRPr="008F236E">
        <w:t>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 </w:t>
      </w:r>
      <w:r w:rsidRPr="008F236E">
        <w:t>smislu članka 1. Konvencije o zaštiti financijskih interesa Europskih zajednica (SL C 316, 27.11.1995., str. 48.).</w:t>
      </w:r>
    </w:p>
  </w:footnote>
  <w:footnote w:id="1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 </w:t>
      </w:r>
      <w:r w:rsidRPr="008F236E">
        <w:t>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 </w:t>
      </w:r>
      <w:r w:rsidRPr="008F236E">
        <w:t>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</w:t>
      </w:r>
      <w:r w:rsidRPr="008F236E">
        <w:rPr>
          <w:rStyle w:val="DeltaViewInsertion"/>
          <w:b w:val="0"/>
          <w:i w:val="0"/>
          <w:w w:val="0"/>
        </w:rPr>
        <w:t xml:space="preserve">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 xml:space="preserve">Ponovite </w:t>
      </w:r>
      <w:r w:rsidRPr="008F236E">
        <w:t>onoliko puta koliko je potrebno.</w:t>
      </w:r>
    </w:p>
  </w:footnote>
  <w:footnote w:id="20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Ponovite </w:t>
      </w:r>
      <w:r w:rsidRPr="008F236E">
        <w:t>onoliko puta koliko je potrebno.</w:t>
      </w:r>
    </w:p>
  </w:footnote>
  <w:footnote w:id="2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Ponovite </w:t>
      </w:r>
      <w:r w:rsidRPr="008F236E">
        <w:t>onoliko puta koliko je potrebno.</w:t>
      </w:r>
    </w:p>
  </w:footnote>
  <w:footnote w:id="2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 </w:t>
      </w:r>
      <w:r w:rsidRPr="008F236E">
        <w:t>skladu s nacionalnim odredbama o provedbi članka 57. stavka 6. Direktive 2014/24/EU.</w:t>
      </w:r>
    </w:p>
  </w:footnote>
  <w:footnote w:id="23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Uzimajući </w:t>
      </w:r>
      <w:r w:rsidRPr="008F236E">
        <w:t>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 xml:space="preserve">Ponovite </w:t>
      </w:r>
      <w:r w:rsidRPr="006F6304">
        <w:t>onoliko puta koliko je potrebno.</w:t>
      </w:r>
    </w:p>
  </w:footnote>
  <w:footnote w:id="2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Vidjeti </w:t>
      </w:r>
      <w:r w:rsidRPr="006F6304">
        <w:t>članak 57. stavak 4. Direktive 2014/24/EU.</w:t>
      </w:r>
    </w:p>
  </w:footnote>
  <w:footnote w:id="2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Kako </w:t>
      </w:r>
      <w:r w:rsidRPr="006F6304">
        <w:rPr>
          <w:b/>
          <w:i/>
        </w:rPr>
        <w:t>je za potrebe ove nabave navedeno u nacionalnom pravu, odgovarajućoj obavijesti ili dokumentaciji o nabavi ili u članku 18. stavku 2. Direktive 2014/24/EU.</w:t>
      </w:r>
    </w:p>
  </w:footnote>
  <w:footnote w:id="2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Vidjeti </w:t>
      </w:r>
      <w:r w:rsidRPr="006F6304">
        <w:rPr>
          <w:b/>
          <w:i/>
        </w:rPr>
        <w:t>nacionalno pravo, odgovarajuću obavijest ili dokumentaciju o nabavi</w:t>
      </w:r>
      <w:r w:rsidRPr="006F6304">
        <w:t>.</w:t>
      </w:r>
    </w:p>
  </w:footnote>
  <w:footnote w:id="2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Ako </w:t>
      </w:r>
      <w:r w:rsidRPr="006F6304">
        <w:rPr>
          <w:b/>
          <w:i/>
        </w:rPr>
        <w:t>je primjenjivo, vidjeti definicije u nacionalnom pravu, odgovarajućoj obavijesti ili dokumentaciji o nabavi.</w:t>
      </w:r>
    </w:p>
  </w:footnote>
  <w:footnote w:id="30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 xml:space="preserve">Kako </w:t>
      </w:r>
      <w:r w:rsidRPr="006F6304">
        <w:rPr>
          <w:b/>
          <w:i/>
        </w:rPr>
        <w:t>je navedeno u nacionalnom pravu, odgovarajućoj obavijesti ili dokumentaciji o nabavi.</w:t>
      </w:r>
    </w:p>
  </w:footnote>
  <w:footnote w:id="31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66429">
        <w:rPr>
          <w:lang w:val="pl-PL"/>
        </w:rPr>
        <w:t>Ponovite onoliko puta koliko je potrebno.</w:t>
      </w:r>
    </w:p>
  </w:footnote>
  <w:footnote w:id="3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Samo </w:t>
      </w:r>
      <w:r w:rsidRPr="006F6304">
        <w:t>ako je dopušteno u odgovarajućoj obavijesti ili dokumentaciji o nabavi.</w:t>
      </w:r>
    </w:p>
  </w:footnote>
  <w:footnote w:id="3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 xml:space="preserve">Samo </w:t>
      </w:r>
      <w:r w:rsidRPr="006F6304">
        <w:t>ako je dopušteno u odgovarajućoj obavijesti ili dokumentaciji o nabavi.</w:t>
      </w:r>
    </w:p>
  </w:footnote>
  <w:footnote w:id="3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Npr. </w:t>
      </w:r>
      <w:r w:rsidRPr="006F6304">
        <w:t>omjer između imovine i obveza.</w:t>
      </w:r>
    </w:p>
  </w:footnote>
  <w:footnote w:id="3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Npr. </w:t>
      </w:r>
      <w:r w:rsidRPr="006F6304">
        <w:t>omjer između imovine i obveza.</w:t>
      </w:r>
    </w:p>
  </w:footnote>
  <w:footnote w:id="3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Ponovite </w:t>
      </w:r>
      <w:r w:rsidRPr="006F6304">
        <w:t>onoliko puta koliko je potrebno.</w:t>
      </w:r>
    </w:p>
  </w:footnote>
  <w:footnote w:id="3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</w:t>
      </w:r>
      <w:r w:rsidRPr="006F6304">
        <w:t xml:space="preserve">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Javni </w:t>
      </w:r>
      <w:r w:rsidRPr="006F6304">
        <w:t xml:space="preserve">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Drugim </w:t>
      </w:r>
      <w:r w:rsidRPr="006F6304">
        <w:t xml:space="preserve">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Za </w:t>
      </w:r>
      <w:r w:rsidRPr="006F6304">
        <w:t>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Kontrolu </w:t>
      </w:r>
      <w:r w:rsidRPr="006F6304">
        <w:t>provodi javni naručitelj ili je u njegovo ime provodi službeno nadležno tijelo države u kojoj dobavljač ili pružatelj usluge ima poslovni nastan, ako na to pristane.</w:t>
      </w:r>
    </w:p>
  </w:footnote>
  <w:footnote w:id="43">
    <w:p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</w:t>
      </w:r>
      <w:r w:rsidRPr="006F6304">
        <w:t xml:space="preserve">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Jasno </w:t>
      </w:r>
      <w:r w:rsidRPr="006F6304">
        <w:t>navedite stavku na koju se odgovor odnosi.</w:t>
      </w:r>
    </w:p>
  </w:footnote>
  <w:footnote w:id="4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Ponovite </w:t>
      </w:r>
      <w:r w:rsidRPr="006F6304">
        <w:t>onoliko puta koliko je potrebno.</w:t>
      </w:r>
    </w:p>
  </w:footnote>
  <w:footnote w:id="4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Ponovite </w:t>
      </w:r>
      <w:r w:rsidRPr="006F6304">
        <w:t>onoliko puta koliko je potrebno.</w:t>
      </w:r>
    </w:p>
  </w:footnote>
  <w:footnote w:id="4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Uz </w:t>
      </w:r>
      <w:r w:rsidRPr="006F6304">
        <w:t>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Ovisno </w:t>
      </w:r>
      <w:r w:rsidRPr="006F6304">
        <w:t>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62588"/>
    <w:rsid w:val="0006456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6A13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B1B7A"/>
    <w:rsid w:val="001B68A3"/>
    <w:rsid w:val="001D66C3"/>
    <w:rsid w:val="001D7D91"/>
    <w:rsid w:val="001E2E18"/>
    <w:rsid w:val="001E3C42"/>
    <w:rsid w:val="001E7F49"/>
    <w:rsid w:val="001F65CE"/>
    <w:rsid w:val="0020747E"/>
    <w:rsid w:val="00223518"/>
    <w:rsid w:val="00224D05"/>
    <w:rsid w:val="0022606A"/>
    <w:rsid w:val="002456F1"/>
    <w:rsid w:val="0024758B"/>
    <w:rsid w:val="00252841"/>
    <w:rsid w:val="0025555B"/>
    <w:rsid w:val="002633B2"/>
    <w:rsid w:val="00274199"/>
    <w:rsid w:val="00282DBC"/>
    <w:rsid w:val="00285916"/>
    <w:rsid w:val="002B6581"/>
    <w:rsid w:val="002B6A73"/>
    <w:rsid w:val="002F73E5"/>
    <w:rsid w:val="0030192C"/>
    <w:rsid w:val="00307D59"/>
    <w:rsid w:val="00315E74"/>
    <w:rsid w:val="00320BDD"/>
    <w:rsid w:val="00330320"/>
    <w:rsid w:val="00341166"/>
    <w:rsid w:val="0034445E"/>
    <w:rsid w:val="003549F8"/>
    <w:rsid w:val="00376924"/>
    <w:rsid w:val="003871AC"/>
    <w:rsid w:val="00391D4B"/>
    <w:rsid w:val="003B163E"/>
    <w:rsid w:val="003B4298"/>
    <w:rsid w:val="003B5AA5"/>
    <w:rsid w:val="003C33DE"/>
    <w:rsid w:val="003D0C55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576E4"/>
    <w:rsid w:val="00472C14"/>
    <w:rsid w:val="0048112F"/>
    <w:rsid w:val="00482893"/>
    <w:rsid w:val="00485184"/>
    <w:rsid w:val="004B1AAF"/>
    <w:rsid w:val="004C23E6"/>
    <w:rsid w:val="004E73B0"/>
    <w:rsid w:val="004F0D74"/>
    <w:rsid w:val="00507328"/>
    <w:rsid w:val="00513150"/>
    <w:rsid w:val="0051400B"/>
    <w:rsid w:val="00531543"/>
    <w:rsid w:val="005352B6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A18DF"/>
    <w:rsid w:val="006B4ECD"/>
    <w:rsid w:val="006C1FF6"/>
    <w:rsid w:val="006D0652"/>
    <w:rsid w:val="006F6304"/>
    <w:rsid w:val="00700236"/>
    <w:rsid w:val="00704F88"/>
    <w:rsid w:val="007174AA"/>
    <w:rsid w:val="00720F3B"/>
    <w:rsid w:val="00747C64"/>
    <w:rsid w:val="0075394E"/>
    <w:rsid w:val="0075503A"/>
    <w:rsid w:val="007653D7"/>
    <w:rsid w:val="007713EA"/>
    <w:rsid w:val="007860A8"/>
    <w:rsid w:val="007B15A4"/>
    <w:rsid w:val="007B75B0"/>
    <w:rsid w:val="007D22FF"/>
    <w:rsid w:val="007E4FA1"/>
    <w:rsid w:val="007F4E5B"/>
    <w:rsid w:val="00810287"/>
    <w:rsid w:val="0083497E"/>
    <w:rsid w:val="00862081"/>
    <w:rsid w:val="00866448"/>
    <w:rsid w:val="00890655"/>
    <w:rsid w:val="008C0F73"/>
    <w:rsid w:val="008D6C7B"/>
    <w:rsid w:val="008F236E"/>
    <w:rsid w:val="00913C7B"/>
    <w:rsid w:val="0091703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A2E6F"/>
    <w:rsid w:val="009B064E"/>
    <w:rsid w:val="009B4B0B"/>
    <w:rsid w:val="009E0D0A"/>
    <w:rsid w:val="009E2096"/>
    <w:rsid w:val="009E448C"/>
    <w:rsid w:val="009F014B"/>
    <w:rsid w:val="00A07D06"/>
    <w:rsid w:val="00A551B5"/>
    <w:rsid w:val="00A57731"/>
    <w:rsid w:val="00A754A2"/>
    <w:rsid w:val="00AA23A1"/>
    <w:rsid w:val="00AC2F2C"/>
    <w:rsid w:val="00AC3785"/>
    <w:rsid w:val="00AC4EE0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E37CA"/>
    <w:rsid w:val="00C06126"/>
    <w:rsid w:val="00C2020C"/>
    <w:rsid w:val="00C25C52"/>
    <w:rsid w:val="00C372DF"/>
    <w:rsid w:val="00C42E87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3352"/>
    <w:rsid w:val="00D048FC"/>
    <w:rsid w:val="00D070A1"/>
    <w:rsid w:val="00D14B33"/>
    <w:rsid w:val="00D15480"/>
    <w:rsid w:val="00D254CD"/>
    <w:rsid w:val="00D336E9"/>
    <w:rsid w:val="00D41C12"/>
    <w:rsid w:val="00D43E96"/>
    <w:rsid w:val="00D46ECA"/>
    <w:rsid w:val="00D5526B"/>
    <w:rsid w:val="00D55970"/>
    <w:rsid w:val="00D67C54"/>
    <w:rsid w:val="00D776FC"/>
    <w:rsid w:val="00D81359"/>
    <w:rsid w:val="00D8693C"/>
    <w:rsid w:val="00D876B6"/>
    <w:rsid w:val="00D95BA7"/>
    <w:rsid w:val="00DA6A95"/>
    <w:rsid w:val="00DB3144"/>
    <w:rsid w:val="00DE19D9"/>
    <w:rsid w:val="00E01054"/>
    <w:rsid w:val="00E058C4"/>
    <w:rsid w:val="00E1708A"/>
    <w:rsid w:val="00E2572B"/>
    <w:rsid w:val="00E50C73"/>
    <w:rsid w:val="00E52DAF"/>
    <w:rsid w:val="00E61E1E"/>
    <w:rsid w:val="00E632B7"/>
    <w:rsid w:val="00E77AEA"/>
    <w:rsid w:val="00E77D22"/>
    <w:rsid w:val="00E8644D"/>
    <w:rsid w:val="00E93B08"/>
    <w:rsid w:val="00EC3616"/>
    <w:rsid w:val="00EC7A59"/>
    <w:rsid w:val="00ED39A0"/>
    <w:rsid w:val="00EF0212"/>
    <w:rsid w:val="00EF612B"/>
    <w:rsid w:val="00EF6513"/>
    <w:rsid w:val="00EF71A9"/>
    <w:rsid w:val="00F068B7"/>
    <w:rsid w:val="00F13126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60A0F"/>
  <w15:docId w15:val="{305DD89D-14F9-4B65-AAD7-34C4CC3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8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8670-8264-4837-BD4D-82C038DD6F6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AB83FC-30B2-44E7-8061-E2CE6101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9F556-66E2-4D11-B1FE-7A1531B65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92C68-3A97-45E8-A2FA-95CC43B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1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Romanini Claudio (MARKT)</dc:creator>
  <cp:lastModifiedBy>Daniel</cp:lastModifiedBy>
  <cp:revision>4</cp:revision>
  <cp:lastPrinted>2015-10-30T12:45:00Z</cp:lastPrinted>
  <dcterms:created xsi:type="dcterms:W3CDTF">2017-06-25T21:14:00Z</dcterms:created>
  <dcterms:modified xsi:type="dcterms:W3CDTF">2017-08-27T20:01:00Z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